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83" w:rsidRPr="00FF573A" w:rsidRDefault="00AF7683" w:rsidP="00AF7683">
      <w:pPr>
        <w:jc w:val="both"/>
        <w:rPr>
          <w:rFonts w:asciiTheme="minorHAnsi" w:hAnsiTheme="minorHAnsi" w:cstheme="minorHAnsi"/>
          <w:lang w:val="de-DE"/>
        </w:rPr>
      </w:pPr>
    </w:p>
    <w:p w:rsidR="00AF7683" w:rsidRPr="00FF573A" w:rsidRDefault="00AF7683" w:rsidP="00AF7683">
      <w:pPr>
        <w:jc w:val="both"/>
        <w:rPr>
          <w:rFonts w:asciiTheme="minorHAnsi" w:hAnsiTheme="minorHAnsi" w:cstheme="minorHAnsi"/>
          <w:lang w:val="de-DE"/>
        </w:rPr>
      </w:pPr>
    </w:p>
    <w:p w:rsidR="00AF7683" w:rsidRPr="00FF573A" w:rsidRDefault="00AF7683" w:rsidP="00AF7683">
      <w:pPr>
        <w:pStyle w:val="Galvene"/>
        <w:jc w:val="center"/>
        <w:rPr>
          <w:rFonts w:asciiTheme="minorHAnsi" w:hAnsiTheme="minorHAnsi" w:cstheme="minorHAnsi"/>
        </w:rPr>
      </w:pPr>
      <w:r w:rsidRPr="00FF573A">
        <w:rPr>
          <w:rFonts w:asciiTheme="minorHAnsi" w:hAnsiTheme="minorHAnsi" w:cstheme="minorHAnsi"/>
          <w:noProof/>
        </w:rPr>
        <w:drawing>
          <wp:inline distT="0" distB="0" distL="0" distR="0" wp14:anchorId="08EF1C1F" wp14:editId="581675E7">
            <wp:extent cx="695325" cy="81915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solidFill>
                      <a:srgbClr val="FFFFFF">
                        <a:alpha val="0"/>
                      </a:srgbClr>
                    </a:solidFill>
                    <a:ln>
                      <a:noFill/>
                    </a:ln>
                  </pic:spPr>
                </pic:pic>
              </a:graphicData>
            </a:graphic>
          </wp:inline>
        </w:drawing>
      </w:r>
    </w:p>
    <w:p w:rsidR="00AF7683" w:rsidRPr="00FF573A" w:rsidRDefault="00AF7683" w:rsidP="00AF7683">
      <w:pPr>
        <w:pStyle w:val="Galvene"/>
        <w:jc w:val="center"/>
        <w:rPr>
          <w:rFonts w:asciiTheme="minorHAnsi" w:hAnsiTheme="minorHAnsi" w:cstheme="minorHAnsi"/>
          <w:caps/>
        </w:rPr>
      </w:pPr>
      <w:r w:rsidRPr="00FF573A">
        <w:rPr>
          <w:rFonts w:asciiTheme="minorHAnsi" w:hAnsiTheme="minorHAnsi" w:cstheme="minorHAnsi"/>
        </w:rPr>
        <w:t>LATVIJAS REPUBLIKA</w:t>
      </w:r>
    </w:p>
    <w:p w:rsidR="00AF7683" w:rsidRPr="00FF573A" w:rsidRDefault="00AF7683" w:rsidP="00AF7683">
      <w:pPr>
        <w:pStyle w:val="Galvene"/>
        <w:jc w:val="center"/>
        <w:rPr>
          <w:rFonts w:asciiTheme="minorHAnsi" w:hAnsiTheme="minorHAnsi" w:cstheme="minorHAnsi"/>
          <w:caps/>
        </w:rPr>
      </w:pPr>
      <w:r w:rsidRPr="00FF573A">
        <w:rPr>
          <w:rFonts w:asciiTheme="minorHAnsi" w:hAnsiTheme="minorHAnsi" w:cstheme="minorHAnsi"/>
          <w:caps/>
        </w:rPr>
        <w:t xml:space="preserve"> Nīcas NOVADA DOME</w:t>
      </w:r>
    </w:p>
    <w:p w:rsidR="00AF7683" w:rsidRPr="00FF573A" w:rsidRDefault="00AF7683" w:rsidP="00AF7683">
      <w:pPr>
        <w:pStyle w:val="Galvene"/>
        <w:jc w:val="center"/>
        <w:rPr>
          <w:rFonts w:asciiTheme="minorHAnsi" w:hAnsiTheme="minorHAnsi" w:cstheme="minorHAnsi"/>
          <w:caps/>
        </w:rPr>
      </w:pPr>
      <w:r w:rsidRPr="00FF573A">
        <w:rPr>
          <w:rFonts w:asciiTheme="minorHAnsi" w:hAnsiTheme="minorHAnsi" w:cstheme="minorHAnsi"/>
          <w:caps/>
        </w:rPr>
        <w:t>IEPIRKUMU   KOMISIJA</w:t>
      </w:r>
    </w:p>
    <w:p w:rsidR="00AF7683" w:rsidRPr="00FF573A" w:rsidRDefault="00AF7683" w:rsidP="00AF7683">
      <w:pPr>
        <w:pStyle w:val="Galvene"/>
        <w:pBdr>
          <w:top w:val="single" w:sz="8" w:space="1" w:color="000000"/>
        </w:pBdr>
        <w:jc w:val="center"/>
        <w:rPr>
          <w:rFonts w:asciiTheme="minorHAnsi" w:hAnsiTheme="minorHAnsi" w:cstheme="minorHAnsi"/>
        </w:rPr>
      </w:pPr>
      <w:proofErr w:type="spellStart"/>
      <w:r w:rsidRPr="00FF573A">
        <w:rPr>
          <w:rFonts w:asciiTheme="minorHAnsi" w:hAnsiTheme="minorHAnsi" w:cstheme="minorHAnsi"/>
        </w:rPr>
        <w:t>Reģ</w:t>
      </w:r>
      <w:proofErr w:type="spellEnd"/>
      <w:r w:rsidRPr="00FF573A">
        <w:rPr>
          <w:rFonts w:asciiTheme="minorHAnsi" w:hAnsiTheme="minorHAnsi" w:cstheme="minorHAnsi"/>
        </w:rPr>
        <w:t>. Nr.</w:t>
      </w:r>
      <w:r w:rsidRPr="00FF573A">
        <w:rPr>
          <w:rFonts w:asciiTheme="minorHAnsi" w:hAnsiTheme="minorHAnsi" w:cstheme="minorHAnsi"/>
          <w:caps/>
        </w:rPr>
        <w:t xml:space="preserve"> </w:t>
      </w:r>
      <w:r w:rsidRPr="00FF573A">
        <w:rPr>
          <w:rFonts w:asciiTheme="minorHAnsi" w:hAnsiTheme="minorHAnsi" w:cstheme="minorHAnsi"/>
        </w:rPr>
        <w:t>90000031531,  Bārtas iela 6, Nīca, Nīcas pagasts, Nīcas novads, LV-3473</w:t>
      </w:r>
    </w:p>
    <w:p w:rsidR="00AF7683" w:rsidRPr="00FF573A" w:rsidRDefault="00AF7683" w:rsidP="00AF7683">
      <w:pPr>
        <w:jc w:val="center"/>
        <w:rPr>
          <w:rFonts w:asciiTheme="minorHAnsi" w:hAnsiTheme="minorHAnsi" w:cstheme="minorHAnsi"/>
        </w:rPr>
      </w:pPr>
      <w:r w:rsidRPr="00FF573A">
        <w:rPr>
          <w:rFonts w:asciiTheme="minorHAnsi" w:hAnsiTheme="minorHAnsi" w:cstheme="minorHAnsi"/>
        </w:rPr>
        <w:t xml:space="preserve">tālrunis 63452260, </w:t>
      </w:r>
      <w:proofErr w:type="spellStart"/>
      <w:r w:rsidRPr="00FF573A">
        <w:rPr>
          <w:rFonts w:asciiTheme="minorHAnsi" w:hAnsiTheme="minorHAnsi" w:cstheme="minorHAnsi"/>
        </w:rPr>
        <w:t>m.t</w:t>
      </w:r>
      <w:proofErr w:type="spellEnd"/>
      <w:r w:rsidRPr="00FF573A">
        <w:rPr>
          <w:rFonts w:asciiTheme="minorHAnsi" w:hAnsiTheme="minorHAnsi" w:cstheme="minorHAnsi"/>
        </w:rPr>
        <w:t xml:space="preserve">. 25449086, e-pasts:  </w:t>
      </w:r>
      <w:smartTag w:uri="urn:schemas-microsoft-com:office:smarttags" w:element="PersonName">
        <w:r w:rsidRPr="00FF573A">
          <w:rPr>
            <w:rFonts w:asciiTheme="minorHAnsi" w:hAnsiTheme="minorHAnsi" w:cstheme="minorHAnsi"/>
          </w:rPr>
          <w:t>iepirkumi@nica.lv</w:t>
        </w:r>
      </w:smartTag>
    </w:p>
    <w:p w:rsidR="00AF7683" w:rsidRPr="00FF573A" w:rsidRDefault="00AF7683" w:rsidP="00AF7683">
      <w:pPr>
        <w:jc w:val="both"/>
        <w:rPr>
          <w:rFonts w:asciiTheme="minorHAnsi" w:hAnsiTheme="minorHAnsi" w:cstheme="minorHAnsi"/>
          <w:lang w:val="de-DE"/>
        </w:rPr>
      </w:pPr>
    </w:p>
    <w:p w:rsidR="00AF7683" w:rsidRPr="00FF573A" w:rsidRDefault="00AF7683" w:rsidP="00AF7683">
      <w:pPr>
        <w:jc w:val="both"/>
        <w:rPr>
          <w:rFonts w:asciiTheme="minorHAnsi" w:hAnsiTheme="minorHAnsi" w:cstheme="minorHAnsi"/>
          <w:lang w:val="de-DE"/>
        </w:rPr>
      </w:pPr>
    </w:p>
    <w:p w:rsidR="00AF7683" w:rsidRPr="005F4D6F" w:rsidRDefault="00AF7683" w:rsidP="00AF7683">
      <w:pPr>
        <w:jc w:val="both"/>
        <w:rPr>
          <w:rFonts w:asciiTheme="minorHAnsi" w:hAnsiTheme="minorHAnsi" w:cstheme="minorHAnsi"/>
          <w:b/>
        </w:rPr>
      </w:pPr>
      <w:r w:rsidRPr="005F4D6F">
        <w:rPr>
          <w:rFonts w:asciiTheme="minorHAnsi" w:hAnsiTheme="minorHAnsi" w:cstheme="minorHAnsi"/>
          <w:b/>
        </w:rPr>
        <w:t xml:space="preserve">2021. gada </w:t>
      </w:r>
      <w:r>
        <w:rPr>
          <w:rFonts w:asciiTheme="minorHAnsi" w:hAnsiTheme="minorHAnsi" w:cstheme="minorHAnsi"/>
          <w:b/>
        </w:rPr>
        <w:t>1.jūnijs</w:t>
      </w:r>
    </w:p>
    <w:p w:rsidR="00AF7683" w:rsidRPr="005F4D6F" w:rsidRDefault="00AF7683" w:rsidP="00AF7683">
      <w:pPr>
        <w:jc w:val="both"/>
        <w:rPr>
          <w:rFonts w:asciiTheme="minorHAnsi" w:hAnsiTheme="minorHAnsi" w:cstheme="minorHAnsi"/>
          <w:b/>
        </w:rPr>
      </w:pPr>
    </w:p>
    <w:p w:rsidR="00AF7683" w:rsidRPr="005F4D6F" w:rsidRDefault="00AF7683" w:rsidP="00AF7683">
      <w:pPr>
        <w:ind w:firstLine="720"/>
        <w:jc w:val="both"/>
        <w:rPr>
          <w:rFonts w:asciiTheme="minorHAnsi" w:hAnsiTheme="minorHAnsi" w:cstheme="minorHAnsi"/>
          <w:b/>
        </w:rPr>
      </w:pPr>
      <w:r w:rsidRPr="005F4D6F">
        <w:rPr>
          <w:rFonts w:asciiTheme="minorHAnsi" w:hAnsiTheme="minorHAnsi" w:cstheme="minorHAnsi"/>
          <w:b/>
        </w:rPr>
        <w:t xml:space="preserve"> Iepirkumu komisija sniedz</w:t>
      </w:r>
      <w:r>
        <w:rPr>
          <w:rFonts w:asciiTheme="minorHAnsi" w:hAnsiTheme="minorHAnsi" w:cstheme="minorHAnsi"/>
          <w:b/>
        </w:rPr>
        <w:t xml:space="preserve"> atbildes</w:t>
      </w:r>
      <w:r w:rsidRPr="005F4D6F">
        <w:rPr>
          <w:rFonts w:asciiTheme="minorHAnsi" w:hAnsiTheme="minorHAnsi" w:cstheme="minorHAnsi"/>
          <w:b/>
        </w:rPr>
        <w:t xml:space="preserve"> par iepirkumu identifikācijas Nr. NND/2021/14 “Nīcas sporta laukuma būvniecība”</w:t>
      </w:r>
    </w:p>
    <w:p w:rsidR="00AF7683" w:rsidRDefault="00AF7683" w:rsidP="00AF7683">
      <w:pPr>
        <w:ind w:firstLine="720"/>
        <w:jc w:val="both"/>
        <w:rPr>
          <w:rFonts w:asciiTheme="minorHAnsi" w:hAnsiTheme="minorHAnsi" w:cstheme="minorHAnsi"/>
          <w:b/>
        </w:rPr>
      </w:pPr>
    </w:p>
    <w:p w:rsidR="00AF7683" w:rsidRPr="005F4D6F" w:rsidRDefault="00AF7683" w:rsidP="00AF7683">
      <w:pPr>
        <w:ind w:firstLine="720"/>
        <w:jc w:val="both"/>
        <w:rPr>
          <w:rFonts w:asciiTheme="minorHAnsi" w:hAnsiTheme="minorHAnsi" w:cstheme="minorHAnsi"/>
          <w:b/>
        </w:rPr>
      </w:pPr>
    </w:p>
    <w:p w:rsidR="00AF7683" w:rsidRPr="00F069EC" w:rsidRDefault="00AF7683" w:rsidP="00AF7683">
      <w:pPr>
        <w:pStyle w:val="Paraststmeklis"/>
        <w:spacing w:before="0" w:beforeAutospacing="0" w:after="0" w:afterAutospacing="0"/>
        <w:ind w:firstLine="720"/>
        <w:jc w:val="both"/>
        <w:rPr>
          <w:rFonts w:asciiTheme="minorHAnsi" w:hAnsiTheme="minorHAnsi" w:cstheme="minorHAnsi"/>
        </w:rPr>
      </w:pPr>
      <w:r w:rsidRPr="00F069EC">
        <w:rPr>
          <w:rFonts w:asciiTheme="minorHAnsi" w:hAnsiTheme="minorHAnsi" w:cstheme="minorHAnsi"/>
          <w:b/>
          <w:bCs/>
        </w:rPr>
        <w:t xml:space="preserve">1. Jautājums: </w:t>
      </w:r>
      <w:r w:rsidRPr="00F069EC">
        <w:rPr>
          <w:rFonts w:asciiTheme="minorHAnsi" w:hAnsiTheme="minorHAnsi" w:cstheme="minorHAnsi"/>
        </w:rPr>
        <w:t xml:space="preserve">Pasūtītājs nolikuma 3.11.punkta 1) apakšpunktā ir iekļāvis sekojošu prasību: </w:t>
      </w:r>
      <w:r w:rsidRPr="00F069EC">
        <w:rPr>
          <w:rFonts w:asciiTheme="minorHAnsi" w:hAnsiTheme="minorHAnsi" w:cstheme="minorHAnsi"/>
          <w:bCs/>
        </w:rPr>
        <w:t xml:space="preserve">"Pretendenta rīcībā ir reģistrēti </w:t>
      </w:r>
      <w:proofErr w:type="spellStart"/>
      <w:r w:rsidRPr="00F069EC">
        <w:rPr>
          <w:rFonts w:asciiTheme="minorHAnsi" w:hAnsiTheme="minorHAnsi" w:cstheme="minorHAnsi"/>
          <w:bCs/>
        </w:rPr>
        <w:t>būvspeciālisti</w:t>
      </w:r>
      <w:proofErr w:type="spellEnd"/>
      <w:r w:rsidRPr="00F069EC">
        <w:rPr>
          <w:rFonts w:asciiTheme="minorHAnsi" w:hAnsiTheme="minorHAnsi" w:cstheme="minorHAnsi"/>
          <w:bCs/>
        </w:rPr>
        <w:t xml:space="preserve"> ar prakses tiesībām:</w:t>
      </w:r>
      <w:r w:rsidRPr="00F069EC">
        <w:rPr>
          <w:rFonts w:asciiTheme="minorHAnsi" w:hAnsiTheme="minorHAnsi" w:cstheme="minorHAnsi"/>
        </w:rPr>
        <w:t xml:space="preserve"> </w:t>
      </w:r>
    </w:p>
    <w:p w:rsidR="00AF7683" w:rsidRPr="00F069EC" w:rsidRDefault="00AF7683" w:rsidP="00AF7683">
      <w:pPr>
        <w:pStyle w:val="Bezatstarpm"/>
        <w:spacing w:before="0" w:beforeAutospacing="0" w:after="0" w:afterAutospacing="0"/>
        <w:jc w:val="both"/>
        <w:rPr>
          <w:rFonts w:asciiTheme="minorHAnsi" w:hAnsiTheme="minorHAnsi" w:cstheme="minorHAnsi"/>
        </w:rPr>
      </w:pPr>
      <w:r w:rsidRPr="00F069EC">
        <w:rPr>
          <w:rFonts w:asciiTheme="minorHAnsi" w:hAnsiTheme="minorHAnsi" w:cstheme="minorHAnsi"/>
          <w:bCs/>
        </w:rPr>
        <w:t xml:space="preserve">1) </w:t>
      </w:r>
      <w:r w:rsidRPr="00F069EC">
        <w:rPr>
          <w:rFonts w:asciiTheme="minorHAnsi" w:hAnsiTheme="minorHAnsi" w:cstheme="minorHAnsi"/>
          <w:b/>
          <w:bCs/>
        </w:rPr>
        <w:t>ēku būvdarbu vadītājs</w:t>
      </w:r>
      <w:r w:rsidRPr="00F069EC">
        <w:rPr>
          <w:rFonts w:asciiTheme="minorHAnsi" w:hAnsiTheme="minorHAnsi" w:cstheme="minorHAnsi"/>
          <w:bCs/>
        </w:rPr>
        <w:t>, kuram iepriekšējo 5 (piecu) gadu laikā (2016., 2017., 2018., 2019., 2020. un 2021.gads līdz piedāvājumu iesniegšanas termiņa beigām) vai īsākā periodā līdz piedāvājumu iesniegšanas termiņa beigām ir vismaz 1 pieredze kuras ietvaros veikti būvdarbi, kuru līgumsumma ir vismaz EUR 100 000,00</w:t>
      </w:r>
      <w:r w:rsidRPr="00F069EC">
        <w:rPr>
          <w:rFonts w:asciiTheme="minorHAnsi" w:hAnsiTheme="minorHAnsi" w:cstheme="minorHAnsi"/>
          <w:bCs/>
          <w:lang w:eastAsia="en-US"/>
        </w:rPr>
        <w:t>"</w:t>
      </w:r>
    </w:p>
    <w:p w:rsidR="00AF7683" w:rsidRPr="00F069EC" w:rsidRDefault="00AF7683" w:rsidP="00AF7683">
      <w:pPr>
        <w:pStyle w:val="Paraststmeklis"/>
        <w:spacing w:before="0" w:beforeAutospacing="0" w:after="0" w:afterAutospacing="0"/>
        <w:ind w:firstLine="720"/>
        <w:jc w:val="both"/>
        <w:rPr>
          <w:rFonts w:asciiTheme="minorHAnsi" w:hAnsiTheme="minorHAnsi" w:cstheme="minorHAnsi"/>
        </w:rPr>
      </w:pPr>
      <w:r w:rsidRPr="00F069EC">
        <w:rPr>
          <w:rFonts w:asciiTheme="minorHAnsi" w:hAnsiTheme="minorHAnsi" w:cstheme="minorHAnsi"/>
          <w:bCs/>
          <w:lang w:eastAsia="en-US"/>
        </w:rPr>
        <w:t>Apsekojot objektu un iepazīstoties ar nolikumu Pretendents konstatēja, ka Pasūtītājs nolikuma 2.2.punktā ir precīzi norādījis darbu veidus, kas būtu jāveic šī iepirkuma ietvaros katrā kārtā. Ņemot vērā to, ka ne darbu apjomu sarakstos, ne nolikuma 2.2.punktā nav minēti darbi, kas saistīti ar ēku būvniecību, uzskatām, ka Pasūtītājs ir kļūdījies, izvirzot Pretendentam kvalifikācijas prasības, attiecībā uz ēku būvdarbu vadītāju.</w:t>
      </w:r>
    </w:p>
    <w:p w:rsidR="00AF7683" w:rsidRPr="00F069EC" w:rsidRDefault="00AF7683" w:rsidP="00AF7683">
      <w:pPr>
        <w:pStyle w:val="Paraststmeklis"/>
        <w:spacing w:before="0" w:beforeAutospacing="0" w:after="0" w:afterAutospacing="0"/>
        <w:jc w:val="both"/>
        <w:rPr>
          <w:rFonts w:asciiTheme="minorHAnsi" w:hAnsiTheme="minorHAnsi" w:cstheme="minorHAnsi"/>
          <w:bCs/>
          <w:lang w:eastAsia="en-US"/>
        </w:rPr>
      </w:pPr>
      <w:r w:rsidRPr="00F069EC">
        <w:rPr>
          <w:rFonts w:asciiTheme="minorHAnsi" w:hAnsiTheme="minorHAnsi" w:cstheme="minorHAnsi"/>
          <w:bCs/>
          <w:lang w:eastAsia="en-US"/>
        </w:rPr>
        <w:t> </w:t>
      </w:r>
      <w:r w:rsidRPr="00F069EC">
        <w:rPr>
          <w:rFonts w:asciiTheme="minorHAnsi" w:hAnsiTheme="minorHAnsi" w:cstheme="minorHAnsi"/>
          <w:bCs/>
          <w:lang w:eastAsia="en-US"/>
        </w:rPr>
        <w:tab/>
      </w:r>
    </w:p>
    <w:p w:rsidR="00AF7683" w:rsidRPr="00F069EC" w:rsidRDefault="00AF7683" w:rsidP="00AF7683">
      <w:pPr>
        <w:pStyle w:val="Paraststmeklis"/>
        <w:spacing w:before="0" w:beforeAutospacing="0" w:after="0" w:afterAutospacing="0"/>
        <w:ind w:firstLine="720"/>
        <w:jc w:val="both"/>
        <w:rPr>
          <w:rFonts w:asciiTheme="minorHAnsi" w:hAnsiTheme="minorHAnsi" w:cstheme="minorHAnsi"/>
        </w:rPr>
      </w:pPr>
      <w:r w:rsidRPr="00F069EC">
        <w:rPr>
          <w:rFonts w:asciiTheme="minorHAnsi" w:hAnsiTheme="minorHAnsi" w:cstheme="minorHAnsi"/>
          <w:b/>
        </w:rPr>
        <w:t xml:space="preserve">Atbilde: </w:t>
      </w:r>
      <w:r w:rsidRPr="00F069EC">
        <w:rPr>
          <w:rFonts w:asciiTheme="minorHAnsi" w:hAnsiTheme="minorHAnsi" w:cstheme="minorHAnsi"/>
        </w:rPr>
        <w:t>Komisija</w:t>
      </w:r>
      <w:r w:rsidRPr="00F069EC">
        <w:rPr>
          <w:rFonts w:asciiTheme="minorHAnsi" w:hAnsiTheme="minorHAnsi" w:cstheme="minorHAnsi"/>
          <w:b/>
        </w:rPr>
        <w:t xml:space="preserve"> </w:t>
      </w:r>
      <w:r w:rsidRPr="00F069EC">
        <w:rPr>
          <w:rFonts w:asciiTheme="minorHAnsi" w:hAnsiTheme="minorHAnsi" w:cstheme="minorHAnsi"/>
        </w:rPr>
        <w:t xml:space="preserve">sniedz atbildi un paskaidro, ka Būvniecības tiesiskais regulējums paredz virkni darbību, kuras var veikt tikai </w:t>
      </w:r>
      <w:proofErr w:type="spellStart"/>
      <w:r w:rsidRPr="00F069EC">
        <w:rPr>
          <w:rFonts w:asciiTheme="minorHAnsi" w:hAnsiTheme="minorHAnsi" w:cstheme="minorHAnsi"/>
        </w:rPr>
        <w:t>būvspeciālisti</w:t>
      </w:r>
      <w:proofErr w:type="spellEnd"/>
      <w:r w:rsidRPr="00F069EC">
        <w:rPr>
          <w:rFonts w:asciiTheme="minorHAnsi" w:hAnsiTheme="minorHAnsi" w:cstheme="minorHAnsi"/>
        </w:rPr>
        <w:t xml:space="preserve">. Būvniecības likuma 13.panta pirmā daļa noteic, ka </w:t>
      </w:r>
      <w:proofErr w:type="spellStart"/>
      <w:r w:rsidRPr="00F069EC">
        <w:rPr>
          <w:rFonts w:asciiTheme="minorHAnsi" w:hAnsiTheme="minorHAnsi" w:cstheme="minorHAnsi"/>
        </w:rPr>
        <w:t>būvspeciālisti</w:t>
      </w:r>
      <w:proofErr w:type="spellEnd"/>
      <w:r w:rsidRPr="00F069EC">
        <w:rPr>
          <w:rFonts w:asciiTheme="minorHAnsi" w:hAnsiTheme="minorHAnsi" w:cstheme="minorHAnsi"/>
        </w:rPr>
        <w:t xml:space="preserve"> ir personas, kas ieguvušas patstāvīgas prakses tiesības arhitektūras, būvniecības vai elektroenerģētikas jomā reglamentētās profesijās.</w:t>
      </w:r>
    </w:p>
    <w:p w:rsidR="00AF7683" w:rsidRPr="00F069EC" w:rsidRDefault="00AF7683" w:rsidP="00AF7683">
      <w:pPr>
        <w:pStyle w:val="Paraststmeklis"/>
        <w:spacing w:before="0" w:beforeAutospacing="0" w:after="0" w:afterAutospacing="0"/>
        <w:ind w:firstLine="720"/>
        <w:jc w:val="both"/>
        <w:rPr>
          <w:rFonts w:asciiTheme="minorHAnsi" w:hAnsiTheme="minorHAnsi" w:cstheme="minorHAnsi"/>
        </w:rPr>
      </w:pPr>
      <w:r w:rsidRPr="00F069EC">
        <w:br/>
      </w:r>
      <w:r w:rsidRPr="00F069EC">
        <w:rPr>
          <w:rFonts w:asciiTheme="minorHAnsi" w:hAnsiTheme="minorHAnsi" w:cstheme="minorHAnsi"/>
        </w:rPr>
        <w:t>Patstāvīgai praksei būvniecības un elektroenerģētikas jomā tiek izsniegts būvprakses sertifikāts inženierizpētes specialitātē, kā arī </w:t>
      </w:r>
      <w:hyperlink r:id="rId7" w:tgtFrame="_blank" w:history="1">
        <w:r w:rsidRPr="00F069EC">
          <w:rPr>
            <w:rStyle w:val="Hipersaite"/>
            <w:rFonts w:asciiTheme="minorHAnsi" w:hAnsiTheme="minorHAnsi" w:cstheme="minorHAnsi"/>
          </w:rPr>
          <w:t>Ministru kabineta 2018.gada 20.marta noteikumu Nr.169 “</w:t>
        </w:r>
        <w:proofErr w:type="spellStart"/>
        <w:r w:rsidRPr="00F069EC">
          <w:rPr>
            <w:rStyle w:val="Hipersaite"/>
            <w:rFonts w:asciiTheme="minorHAnsi" w:hAnsiTheme="minorHAnsi" w:cstheme="minorHAnsi"/>
          </w:rPr>
          <w:t>Būvspeciālistu</w:t>
        </w:r>
        <w:proofErr w:type="spellEnd"/>
        <w:r w:rsidRPr="00F069EC">
          <w:rPr>
            <w:rStyle w:val="Hipersaite"/>
            <w:rFonts w:asciiTheme="minorHAnsi" w:hAnsiTheme="minorHAnsi" w:cstheme="minorHAnsi"/>
          </w:rPr>
          <w:t xml:space="preserve"> kompetences novērtēšanas un patstāvīgās prakses uzraudzības noteikumi</w:t>
        </w:r>
      </w:hyperlink>
      <w:r w:rsidRPr="00F069EC">
        <w:rPr>
          <w:rFonts w:asciiTheme="minorHAnsi" w:hAnsiTheme="minorHAnsi" w:cstheme="minorHAnsi"/>
        </w:rPr>
        <w:t>” 1.pielikumā noteiktajās projektēšanas, būvdarbu vadīšanas, būvuzraudzības un būvekspertīzes specialitātes darbības sfērās.</w:t>
      </w:r>
      <w:r w:rsidRPr="00F069EC">
        <w:rPr>
          <w:rFonts w:asciiTheme="minorHAnsi" w:hAnsiTheme="minorHAnsi" w:cstheme="minorHAnsi"/>
        </w:rPr>
        <w:br/>
      </w:r>
      <w:r w:rsidRPr="00F069EC">
        <w:rPr>
          <w:rFonts w:asciiTheme="minorHAnsi" w:hAnsiTheme="minorHAnsi" w:cstheme="minorHAnsi"/>
          <w:b/>
          <w:bCs/>
        </w:rPr>
        <w:t>Nevienas darbības sfēras sertifikāts nav hierarhiski augstāks par citas darbības sfēras sertifikātu</w:t>
      </w:r>
      <w:r w:rsidRPr="00F069EC">
        <w:rPr>
          <w:rFonts w:asciiTheme="minorHAnsi" w:hAnsiTheme="minorHAnsi" w:cstheme="minorHAnsi"/>
        </w:rPr>
        <w:t xml:space="preserve">. </w:t>
      </w:r>
    </w:p>
    <w:p w:rsidR="00AF7683" w:rsidRPr="00F069EC" w:rsidRDefault="00AF7683" w:rsidP="00AF7683">
      <w:pPr>
        <w:pStyle w:val="Paraststmeklis"/>
        <w:spacing w:before="0" w:beforeAutospacing="0" w:after="0" w:afterAutospacing="0"/>
        <w:ind w:firstLine="720"/>
        <w:jc w:val="both"/>
        <w:rPr>
          <w:rFonts w:asciiTheme="minorHAnsi" w:hAnsiTheme="minorHAnsi" w:cstheme="minorHAnsi"/>
        </w:rPr>
      </w:pPr>
      <w:proofErr w:type="spellStart"/>
      <w:r w:rsidRPr="00F069EC">
        <w:rPr>
          <w:rFonts w:asciiTheme="minorHAnsi" w:hAnsiTheme="minorHAnsi" w:cstheme="minorHAnsi"/>
        </w:rPr>
        <w:t>Būvspeciālistam</w:t>
      </w:r>
      <w:proofErr w:type="spellEnd"/>
      <w:r w:rsidRPr="00F069EC">
        <w:rPr>
          <w:rFonts w:asciiTheme="minorHAnsi" w:hAnsiTheme="minorHAnsi" w:cstheme="minorHAnsi"/>
        </w:rPr>
        <w:t xml:space="preserve"> ar konkrētu darbības sfēras sertifikātu ir tiesības veikt darbus, kas ietilpst citā darbības sfērā, tikai tad, ja šādas tiesības ir tieši noteiktas </w:t>
      </w:r>
      <w:hyperlink r:id="rId8" w:tgtFrame="_blank" w:history="1">
        <w:r w:rsidRPr="00F069EC">
          <w:rPr>
            <w:rStyle w:val="Hipersaite"/>
            <w:rFonts w:asciiTheme="minorHAnsi" w:hAnsiTheme="minorHAnsi" w:cstheme="minorHAnsi"/>
          </w:rPr>
          <w:t>Ministru kabineta 2018.gada 20.marta noteikumi Nr.169 “</w:t>
        </w:r>
        <w:proofErr w:type="spellStart"/>
        <w:r w:rsidRPr="00F069EC">
          <w:rPr>
            <w:rStyle w:val="Hipersaite"/>
            <w:rFonts w:asciiTheme="minorHAnsi" w:hAnsiTheme="minorHAnsi" w:cstheme="minorHAnsi"/>
          </w:rPr>
          <w:t>Būvspeciālistu</w:t>
        </w:r>
        <w:proofErr w:type="spellEnd"/>
        <w:r w:rsidRPr="00F069EC">
          <w:rPr>
            <w:rStyle w:val="Hipersaite"/>
            <w:rFonts w:asciiTheme="minorHAnsi" w:hAnsiTheme="minorHAnsi" w:cstheme="minorHAnsi"/>
          </w:rPr>
          <w:t xml:space="preserve"> kompetences novērtēšanas un patstāvīgās prakses uzraudzības noteikumi</w:t>
        </w:r>
      </w:hyperlink>
      <w:r w:rsidRPr="00F069EC">
        <w:rPr>
          <w:rFonts w:asciiTheme="minorHAnsi" w:hAnsiTheme="minorHAnsi" w:cstheme="minorHAnsi"/>
        </w:rPr>
        <w:t>”  1.pielikuma piezīmēs vai speciālajos būvnoteikumos.</w:t>
      </w:r>
    </w:p>
    <w:p w:rsidR="00AF7683" w:rsidRPr="00F069EC" w:rsidRDefault="00AF7683" w:rsidP="00AF7683">
      <w:pPr>
        <w:pStyle w:val="Paraststmeklis"/>
        <w:spacing w:before="0" w:beforeAutospacing="0" w:after="0" w:afterAutospacing="0"/>
        <w:ind w:firstLine="720"/>
        <w:jc w:val="both"/>
        <w:rPr>
          <w:rFonts w:asciiTheme="minorHAnsi" w:hAnsiTheme="minorHAnsi" w:cstheme="minorHAnsi"/>
        </w:rPr>
      </w:pPr>
      <w:r w:rsidRPr="0062512E">
        <w:rPr>
          <w:rFonts w:asciiTheme="minorHAnsi" w:hAnsiTheme="minorHAnsi" w:cstheme="minorHAnsi"/>
        </w:rPr>
        <w:lastRenderedPageBreak/>
        <w:t xml:space="preserve">2014.gada 14.oktobra </w:t>
      </w:r>
      <w:r w:rsidRPr="00F069EC">
        <w:rPr>
          <w:rFonts w:asciiTheme="minorHAnsi" w:hAnsiTheme="minorHAnsi" w:cstheme="minorHAnsi"/>
        </w:rPr>
        <w:t xml:space="preserve">Ministru kabineta noteikumi Nr.633  "Autoceļu un ielu būvnoteikumi" nosaka valsts autoceļu, pašvaldību ceļu, ielu, māju ceļu un komersantu ceļu būvniecības procesa kārtību, būvniecības procesā iesaistītās institūcijas un atbildīgos </w:t>
      </w:r>
      <w:proofErr w:type="spellStart"/>
      <w:r w:rsidRPr="00F069EC">
        <w:rPr>
          <w:rFonts w:asciiTheme="minorHAnsi" w:hAnsiTheme="minorHAnsi" w:cstheme="minorHAnsi"/>
        </w:rPr>
        <w:t>būvspeciālistus</w:t>
      </w:r>
      <w:proofErr w:type="spellEnd"/>
      <w:r w:rsidRPr="00F069EC">
        <w:rPr>
          <w:rFonts w:asciiTheme="minorHAnsi" w:hAnsiTheme="minorHAnsi" w:cstheme="minorHAnsi"/>
        </w:rPr>
        <w:t>.</w:t>
      </w:r>
    </w:p>
    <w:p w:rsidR="00AF7683" w:rsidRPr="00F069EC" w:rsidRDefault="00AF7683" w:rsidP="00AF7683">
      <w:pPr>
        <w:pStyle w:val="Paraststmeklis"/>
        <w:spacing w:before="0" w:beforeAutospacing="0" w:after="0" w:afterAutospacing="0"/>
        <w:ind w:firstLine="720"/>
        <w:jc w:val="both"/>
        <w:rPr>
          <w:rFonts w:asciiTheme="minorHAnsi" w:hAnsiTheme="minorHAnsi" w:cstheme="minorHAnsi"/>
        </w:rPr>
      </w:pPr>
      <w:r w:rsidRPr="00F069EC">
        <w:rPr>
          <w:rFonts w:asciiTheme="minorHAnsi" w:hAnsiTheme="minorHAnsi" w:cstheme="minorHAnsi"/>
        </w:rPr>
        <w:t xml:space="preserve">Objekts: </w:t>
      </w:r>
      <w:r w:rsidRPr="00F069EC">
        <w:rPr>
          <w:rFonts w:asciiTheme="minorHAnsi" w:hAnsiTheme="minorHAnsi" w:cstheme="minorHAnsi"/>
          <w:b/>
          <w:bCs/>
        </w:rPr>
        <w:t>Nīcas sporta laukuma būvniecība</w:t>
      </w:r>
      <w:r w:rsidRPr="00F069EC">
        <w:rPr>
          <w:rFonts w:asciiTheme="minorHAnsi" w:hAnsiTheme="minorHAnsi" w:cstheme="minorHAnsi"/>
        </w:rPr>
        <w:t xml:space="preserve"> – nav pašvaldību ceļu, ielu, māju ceļu un komersantu ceļu būvniecības process, kura kārtību, būvniecības procesā iesaistītās institūcijas un atbildīgos </w:t>
      </w:r>
      <w:proofErr w:type="spellStart"/>
      <w:r w:rsidRPr="00F069EC">
        <w:rPr>
          <w:rFonts w:asciiTheme="minorHAnsi" w:hAnsiTheme="minorHAnsi" w:cstheme="minorHAnsi"/>
        </w:rPr>
        <w:t>būvspeciālistus</w:t>
      </w:r>
      <w:proofErr w:type="spellEnd"/>
      <w:r w:rsidRPr="00F069EC">
        <w:rPr>
          <w:rFonts w:asciiTheme="minorHAnsi" w:hAnsiTheme="minorHAnsi" w:cstheme="minorHAnsi"/>
        </w:rPr>
        <w:t xml:space="preserve"> reglamentē 2014.gada 14.oktobra Ministru kabineta noteikumi Nr.633  "Autoceļu un ielu būvnoteikumi". Konkrētā objekta būvniecību reglamentē  </w:t>
      </w:r>
      <w:r w:rsidRPr="0062512E">
        <w:rPr>
          <w:rFonts w:asciiTheme="minorHAnsi" w:hAnsiTheme="minorHAnsi" w:cstheme="minorHAnsi"/>
        </w:rPr>
        <w:t xml:space="preserve">2017.gada 09.maija </w:t>
      </w:r>
      <w:r w:rsidRPr="00F069EC">
        <w:rPr>
          <w:rFonts w:asciiTheme="minorHAnsi" w:hAnsiTheme="minorHAnsi" w:cstheme="minorHAnsi"/>
        </w:rPr>
        <w:t xml:space="preserve">Ministru kabineta noteikumi Nr.253  "Atsevišķu inženierbūvju būvnoteikumi",  līdz ar to ir pamatoti, ka tiek prasīts </w:t>
      </w:r>
      <w:proofErr w:type="spellStart"/>
      <w:r w:rsidRPr="00F069EC">
        <w:rPr>
          <w:rFonts w:asciiTheme="minorHAnsi" w:hAnsiTheme="minorHAnsi" w:cstheme="minorHAnsi"/>
          <w:b/>
          <w:bCs/>
        </w:rPr>
        <w:t>būvspeciālists</w:t>
      </w:r>
      <w:proofErr w:type="spellEnd"/>
      <w:r w:rsidRPr="00F069EC">
        <w:rPr>
          <w:rFonts w:asciiTheme="minorHAnsi" w:hAnsiTheme="minorHAnsi" w:cstheme="minorHAnsi"/>
        </w:rPr>
        <w:t xml:space="preserve"> (atbildīgais būvdarbu vadītājs) sfērā/jomā – </w:t>
      </w:r>
      <w:r w:rsidRPr="00F069EC">
        <w:rPr>
          <w:rFonts w:asciiTheme="minorHAnsi" w:hAnsiTheme="minorHAnsi" w:cstheme="minorHAnsi"/>
          <w:b/>
          <w:bCs/>
        </w:rPr>
        <w:t>ēku būvdarbu vadīšana.</w:t>
      </w:r>
      <w:r w:rsidRPr="00F069EC">
        <w:rPr>
          <w:rFonts w:asciiTheme="minorHAnsi" w:hAnsiTheme="minorHAnsi" w:cstheme="minorHAnsi"/>
          <w:b/>
          <w:bCs/>
        </w:rPr>
        <w:br/>
      </w:r>
      <w:proofErr w:type="spellStart"/>
      <w:r w:rsidRPr="0062512E">
        <w:rPr>
          <w:rFonts w:asciiTheme="minorHAnsi" w:hAnsiTheme="minorHAnsi" w:cstheme="minorHAnsi"/>
        </w:rPr>
        <w:t>B</w:t>
      </w:r>
      <w:r w:rsidRPr="00F069EC">
        <w:rPr>
          <w:rFonts w:asciiTheme="minorHAnsi" w:hAnsiTheme="minorHAnsi" w:cstheme="minorHAnsi"/>
        </w:rPr>
        <w:t>ūvspeciālists</w:t>
      </w:r>
      <w:proofErr w:type="spellEnd"/>
      <w:r w:rsidRPr="00F069EC">
        <w:rPr>
          <w:rFonts w:asciiTheme="minorHAnsi" w:hAnsiTheme="minorHAnsi" w:cstheme="minorHAnsi"/>
        </w:rPr>
        <w:t xml:space="preserve"> ar darbības sfēru – ēku būvdarbu vadīšana ir kompetents atsevišķu inženierbūvju būvdarbu vadīšanā.</w:t>
      </w:r>
    </w:p>
    <w:p w:rsidR="00AF7683" w:rsidRPr="00F069EC" w:rsidRDefault="00AF7683" w:rsidP="00AF7683">
      <w:pPr>
        <w:jc w:val="both"/>
        <w:rPr>
          <w:rFonts w:cstheme="minorHAnsi"/>
        </w:rPr>
      </w:pPr>
    </w:p>
    <w:p w:rsidR="00AF7683" w:rsidRPr="00F069EC" w:rsidRDefault="00AF7683" w:rsidP="00AF7683">
      <w:pPr>
        <w:jc w:val="both"/>
        <w:rPr>
          <w:rFonts w:cstheme="minorHAnsi"/>
        </w:rPr>
      </w:pPr>
      <w:r w:rsidRPr="00F069EC">
        <w:rPr>
          <w:rFonts w:cstheme="minorHAnsi"/>
        </w:rPr>
        <w:tab/>
      </w:r>
      <w:r w:rsidRPr="00F069EC">
        <w:rPr>
          <w:rFonts w:cstheme="minorHAnsi"/>
          <w:b/>
        </w:rPr>
        <w:t xml:space="preserve">2. Jautājums:  </w:t>
      </w:r>
      <w:r w:rsidRPr="00F069EC">
        <w:rPr>
          <w:rFonts w:cstheme="minorHAnsi"/>
        </w:rPr>
        <w:t>Vai pasūtītājs atzīs par atbilstošu, ja Pasūtītājs nolikuma 3.15.punkta ietvaros iesniegs jau spēkā esošu civiltiesiskās atbildības apdrošināšanas līgumu?</w:t>
      </w:r>
    </w:p>
    <w:p w:rsidR="00AF7683" w:rsidRPr="00F069EC" w:rsidRDefault="00AF7683" w:rsidP="00AF7683">
      <w:pPr>
        <w:ind w:firstLine="720"/>
        <w:jc w:val="both"/>
        <w:rPr>
          <w:rFonts w:cstheme="minorHAnsi"/>
          <w:bCs/>
          <w:color w:val="FF0000"/>
          <w:kern w:val="2"/>
        </w:rPr>
      </w:pPr>
      <w:r w:rsidRPr="00F069EC">
        <w:rPr>
          <w:rFonts w:cstheme="minorHAnsi"/>
          <w:b/>
        </w:rPr>
        <w:t xml:space="preserve">Atbilde: </w:t>
      </w:r>
      <w:r w:rsidRPr="00F069EC">
        <w:rPr>
          <w:rFonts w:cstheme="minorHAnsi"/>
        </w:rPr>
        <w:t>Komisija skaidro, ka Nolikuma 3.15. punktā ir noteikts, ka jāiesniedz “</w:t>
      </w:r>
      <w:r w:rsidRPr="00F069EC">
        <w:rPr>
          <w:rFonts w:eastAsia="Lucida Sans Unicode" w:cstheme="minorHAnsi"/>
          <w:i/>
          <w:iCs/>
          <w:kern w:val="2"/>
        </w:rPr>
        <w:t xml:space="preserve">Apdrošināšanas kompānijas garantijas vēstule, ka gadījumā, ja Pretendentam saskaņā ar nolikumā noteikto tiks piešķirtas iepirkuma līguma slēgšanas tiesības, ar Pretendentu tiks parakstīts līgums par civiltiesiskās atbildības apdrošināšanu par konkrēto objektu </w:t>
      </w:r>
      <w:r w:rsidRPr="00F069EC">
        <w:rPr>
          <w:rFonts w:eastAsia="Lucida Sans Unicode" w:cstheme="minorHAnsi"/>
          <w:b/>
          <w:i/>
          <w:iCs/>
          <w:kern w:val="2"/>
        </w:rPr>
        <w:t>vai civiltiesiskās atbildības apdrošināšanas polise par visu objektu apdrošināšanu</w:t>
      </w:r>
      <w:r w:rsidRPr="00F069EC">
        <w:rPr>
          <w:rFonts w:eastAsia="Lucida Sans Unicode" w:cstheme="minorHAnsi"/>
          <w:kern w:val="2"/>
        </w:rPr>
        <w:t>”.</w:t>
      </w:r>
      <w:r w:rsidRPr="00F069EC">
        <w:rPr>
          <w:rFonts w:cstheme="minorHAnsi"/>
        </w:rPr>
        <w:t xml:space="preserve"> </w:t>
      </w:r>
      <w:r w:rsidRPr="00F069EC">
        <w:rPr>
          <w:rFonts w:cstheme="minorHAnsi"/>
          <w:bCs/>
          <w:color w:val="000000"/>
          <w:kern w:val="2"/>
        </w:rPr>
        <w:t xml:space="preserve">Līdz ar to Pasūtītājs atzīs </w:t>
      </w:r>
      <w:r w:rsidRPr="00F069EC">
        <w:rPr>
          <w:rFonts w:cstheme="minorHAnsi"/>
        </w:rPr>
        <w:t xml:space="preserve">par atbilstošu, ja Pretendents </w:t>
      </w:r>
      <w:proofErr w:type="spellStart"/>
      <w:r w:rsidRPr="0062512E">
        <w:rPr>
          <w:rFonts w:cstheme="minorHAnsi"/>
        </w:rPr>
        <w:t>atbilsoši</w:t>
      </w:r>
      <w:proofErr w:type="spellEnd"/>
      <w:r w:rsidRPr="00F069EC">
        <w:rPr>
          <w:rFonts w:cstheme="minorHAnsi"/>
          <w:color w:val="FF0000"/>
        </w:rPr>
        <w:t xml:space="preserve">  </w:t>
      </w:r>
      <w:r w:rsidRPr="00F069EC">
        <w:rPr>
          <w:rFonts w:cstheme="minorHAnsi"/>
        </w:rPr>
        <w:t xml:space="preserve">nolikuma 3.15.punktā </w:t>
      </w:r>
      <w:r w:rsidRPr="0062512E">
        <w:rPr>
          <w:rFonts w:cstheme="minorHAnsi"/>
        </w:rPr>
        <w:t>prasītajam</w:t>
      </w:r>
      <w:r w:rsidRPr="00F069EC">
        <w:rPr>
          <w:rFonts w:cstheme="minorHAnsi"/>
          <w:color w:val="FF0000"/>
        </w:rPr>
        <w:t xml:space="preserve"> </w:t>
      </w:r>
      <w:r w:rsidRPr="00F069EC">
        <w:rPr>
          <w:rFonts w:cstheme="minorHAnsi"/>
        </w:rPr>
        <w:t xml:space="preserve">iesniegs jau spēkā esošu civiltiesiskās atbildības apdrošināšanas līgumu par visu objektu </w:t>
      </w:r>
      <w:r w:rsidRPr="0062512E">
        <w:rPr>
          <w:rFonts w:cstheme="minorHAnsi"/>
        </w:rPr>
        <w:t>apdrošināšanu, ja m</w:t>
      </w:r>
      <w:r w:rsidRPr="0062512E">
        <w:rPr>
          <w:rFonts w:eastAsia="Lucida Sans Unicode" w:cstheme="minorHAnsi"/>
          <w:kern w:val="2"/>
        </w:rPr>
        <w:t>inētais līgums būs spēkā visu būvdarbu laiku līdz visu Darbu nodošanas – pieņemšanas akta parakstīšanai</w:t>
      </w:r>
      <w:r w:rsidRPr="0062512E">
        <w:rPr>
          <w:rFonts w:cstheme="minorHAnsi"/>
        </w:rPr>
        <w:t>.</w:t>
      </w:r>
      <w:r w:rsidRPr="0062512E">
        <w:rPr>
          <w:rFonts w:cstheme="minorHAnsi"/>
          <w:bCs/>
          <w:kern w:val="2"/>
        </w:rPr>
        <w:t xml:space="preserve"> </w:t>
      </w:r>
    </w:p>
    <w:p w:rsidR="00AF7683" w:rsidRPr="00F069EC" w:rsidRDefault="00AF7683" w:rsidP="00AF7683">
      <w:pPr>
        <w:ind w:firstLine="720"/>
        <w:jc w:val="both"/>
        <w:rPr>
          <w:rFonts w:cstheme="minorHAnsi"/>
          <w:bCs/>
          <w:color w:val="000000"/>
          <w:kern w:val="2"/>
        </w:rPr>
      </w:pPr>
    </w:p>
    <w:p w:rsidR="00AF7683" w:rsidRPr="00F069EC" w:rsidRDefault="00AF7683" w:rsidP="00AF7683">
      <w:pPr>
        <w:pStyle w:val="Paraststmeklis"/>
        <w:spacing w:before="0" w:beforeAutospacing="0" w:after="0" w:afterAutospacing="0"/>
        <w:ind w:firstLine="720"/>
        <w:jc w:val="both"/>
        <w:rPr>
          <w:rFonts w:asciiTheme="minorHAnsi" w:hAnsiTheme="minorHAnsi" w:cstheme="minorHAnsi"/>
        </w:rPr>
      </w:pPr>
      <w:r w:rsidRPr="00F069EC">
        <w:rPr>
          <w:rFonts w:asciiTheme="minorHAnsi" w:hAnsiTheme="minorHAnsi" w:cstheme="minorHAnsi"/>
          <w:b/>
          <w:bCs/>
          <w:color w:val="000000"/>
          <w:kern w:val="2"/>
        </w:rPr>
        <w:t xml:space="preserve">3. Jautājums: </w:t>
      </w:r>
      <w:r w:rsidRPr="00F069EC">
        <w:rPr>
          <w:rFonts w:asciiTheme="minorHAnsi" w:hAnsiTheme="minorHAnsi" w:cstheme="minorHAnsi"/>
        </w:rPr>
        <w:t xml:space="preserve">Lokālās tāmes Nr.1(CD </w:t>
      </w:r>
      <w:proofErr w:type="spellStart"/>
      <w:r w:rsidRPr="00F069EC">
        <w:rPr>
          <w:rFonts w:asciiTheme="minorHAnsi" w:hAnsiTheme="minorHAnsi" w:cstheme="minorHAnsi"/>
        </w:rPr>
        <w:t>I.kārta</w:t>
      </w:r>
      <w:proofErr w:type="spellEnd"/>
      <w:r w:rsidRPr="00F069EC">
        <w:rPr>
          <w:rFonts w:asciiTheme="minorHAnsi" w:hAnsiTheme="minorHAnsi" w:cstheme="minorHAnsi"/>
        </w:rPr>
        <w:t xml:space="preserve">) pozīcijā Nr. 13 (Nesaistītu </w:t>
      </w:r>
      <w:proofErr w:type="spellStart"/>
      <w:r w:rsidRPr="00F069EC">
        <w:rPr>
          <w:rFonts w:asciiTheme="minorHAnsi" w:hAnsiTheme="minorHAnsi" w:cstheme="minorHAnsi"/>
        </w:rPr>
        <w:t>minerālmateriālu</w:t>
      </w:r>
      <w:proofErr w:type="spellEnd"/>
      <w:r w:rsidRPr="00F069EC">
        <w:rPr>
          <w:rFonts w:asciiTheme="minorHAnsi" w:hAnsiTheme="minorHAnsi" w:cstheme="minorHAnsi"/>
        </w:rPr>
        <w:t xml:space="preserve"> 2/45 segas pamata kārtas būvniecība h=15 cm biezumā) nesaistīto </w:t>
      </w:r>
      <w:proofErr w:type="spellStart"/>
      <w:r w:rsidRPr="00F069EC">
        <w:rPr>
          <w:rFonts w:asciiTheme="minorHAnsi" w:hAnsiTheme="minorHAnsi" w:cstheme="minorHAnsi"/>
        </w:rPr>
        <w:t>minerālmateriālu</w:t>
      </w:r>
      <w:proofErr w:type="spellEnd"/>
      <w:r w:rsidRPr="00F069EC">
        <w:rPr>
          <w:rFonts w:asciiTheme="minorHAnsi" w:hAnsiTheme="minorHAnsi" w:cstheme="minorHAnsi"/>
        </w:rPr>
        <w:t xml:space="preserve"> frakcija minēta 2/45, </w:t>
      </w:r>
      <w:proofErr w:type="spellStart"/>
      <w:r w:rsidRPr="00F069EC">
        <w:rPr>
          <w:rFonts w:asciiTheme="minorHAnsi" w:hAnsiTheme="minorHAnsi" w:cstheme="minorHAnsi"/>
        </w:rPr>
        <w:t>savukārta</w:t>
      </w:r>
      <w:proofErr w:type="spellEnd"/>
      <w:r w:rsidRPr="00F069EC">
        <w:rPr>
          <w:rFonts w:asciiTheme="minorHAnsi" w:hAnsiTheme="minorHAnsi" w:cstheme="minorHAnsi"/>
        </w:rPr>
        <w:t xml:space="preserve">, projekta dokumentācija - seguma izbūves plānā TS-4-6 nesaistīto </w:t>
      </w:r>
      <w:proofErr w:type="spellStart"/>
      <w:r w:rsidRPr="00F069EC">
        <w:rPr>
          <w:rFonts w:asciiTheme="minorHAnsi" w:hAnsiTheme="minorHAnsi" w:cstheme="minorHAnsi"/>
        </w:rPr>
        <w:t>minerālmateriālu</w:t>
      </w:r>
      <w:proofErr w:type="spellEnd"/>
      <w:r w:rsidRPr="00F069EC">
        <w:rPr>
          <w:rFonts w:asciiTheme="minorHAnsi" w:hAnsiTheme="minorHAnsi" w:cstheme="minorHAnsi"/>
        </w:rPr>
        <w:t xml:space="preserve"> </w:t>
      </w:r>
      <w:proofErr w:type="spellStart"/>
      <w:r w:rsidRPr="00F069EC">
        <w:rPr>
          <w:rFonts w:asciiTheme="minorHAnsi" w:hAnsiTheme="minorHAnsi" w:cstheme="minorHAnsi"/>
        </w:rPr>
        <w:t>frakacija</w:t>
      </w:r>
      <w:proofErr w:type="spellEnd"/>
      <w:r w:rsidRPr="00F069EC">
        <w:rPr>
          <w:rFonts w:asciiTheme="minorHAnsi" w:hAnsiTheme="minorHAnsi" w:cstheme="minorHAnsi"/>
        </w:rPr>
        <w:t xml:space="preserve"> minēta 0/45. Lūgums precizēt Lokālās tāmes Nr.1 pozīciju Nr. 13.</w:t>
      </w:r>
    </w:p>
    <w:p w:rsidR="00AF7683" w:rsidRPr="00F069EC" w:rsidRDefault="00AF7683" w:rsidP="00AF7683">
      <w:pPr>
        <w:pStyle w:val="Paraststmeklis"/>
        <w:spacing w:before="0" w:beforeAutospacing="0" w:after="0" w:afterAutospacing="0"/>
        <w:ind w:firstLine="720"/>
        <w:jc w:val="both"/>
        <w:rPr>
          <w:rFonts w:asciiTheme="minorHAnsi" w:hAnsiTheme="minorHAnsi" w:cstheme="minorHAnsi"/>
        </w:rPr>
      </w:pPr>
    </w:p>
    <w:p w:rsidR="00AF7683" w:rsidRPr="001A653C" w:rsidRDefault="00AF7683" w:rsidP="00AF7683">
      <w:pPr>
        <w:pStyle w:val="Paraststmeklis"/>
        <w:spacing w:before="0" w:beforeAutospacing="0" w:after="0" w:afterAutospacing="0"/>
        <w:ind w:firstLine="720"/>
        <w:jc w:val="both"/>
        <w:rPr>
          <w:rFonts w:asciiTheme="minorHAnsi" w:hAnsiTheme="minorHAnsi" w:cstheme="minorHAnsi"/>
        </w:rPr>
      </w:pPr>
      <w:r w:rsidRPr="001A653C">
        <w:rPr>
          <w:rFonts w:asciiTheme="minorHAnsi" w:hAnsiTheme="minorHAnsi" w:cstheme="minorHAnsi"/>
          <w:b/>
        </w:rPr>
        <w:t>Atbilde:</w:t>
      </w:r>
      <w:r w:rsidRPr="001A653C">
        <w:rPr>
          <w:rFonts w:asciiTheme="minorHAnsi" w:hAnsiTheme="minorHAnsi" w:cstheme="minorHAnsi"/>
        </w:rPr>
        <w:t xml:space="preserve"> Ar šo komisija </w:t>
      </w:r>
      <w:r>
        <w:rPr>
          <w:rFonts w:asciiTheme="minorHAnsi" w:hAnsiTheme="minorHAnsi" w:cstheme="minorHAnsi"/>
        </w:rPr>
        <w:t>precizē</w:t>
      </w:r>
      <w:r w:rsidRPr="001A653C">
        <w:rPr>
          <w:rFonts w:asciiTheme="minorHAnsi" w:hAnsiTheme="minorHAnsi" w:cstheme="minorHAnsi"/>
        </w:rPr>
        <w:t>, ka l</w:t>
      </w:r>
      <w:r w:rsidRPr="001A653C">
        <w:rPr>
          <w:rFonts w:asciiTheme="minorHAnsi" w:hAnsiTheme="minorHAnsi" w:cstheme="minorHAnsi"/>
          <w:bCs/>
        </w:rPr>
        <w:t>okālās tāmes Nr.1</w:t>
      </w:r>
      <w:r>
        <w:rPr>
          <w:rFonts w:asciiTheme="minorHAnsi" w:hAnsiTheme="minorHAnsi" w:cstheme="minorHAnsi"/>
          <w:bCs/>
        </w:rPr>
        <w:t xml:space="preserve"> </w:t>
      </w:r>
      <w:r w:rsidRPr="001A653C">
        <w:rPr>
          <w:rFonts w:asciiTheme="minorHAnsi" w:hAnsiTheme="minorHAnsi" w:cstheme="minorHAnsi"/>
          <w:bCs/>
        </w:rPr>
        <w:t xml:space="preserve">(CD </w:t>
      </w:r>
      <w:proofErr w:type="spellStart"/>
      <w:r w:rsidRPr="001A653C">
        <w:rPr>
          <w:rFonts w:asciiTheme="minorHAnsi" w:hAnsiTheme="minorHAnsi" w:cstheme="minorHAnsi"/>
          <w:bCs/>
        </w:rPr>
        <w:t>I.kārta</w:t>
      </w:r>
      <w:proofErr w:type="spellEnd"/>
      <w:r w:rsidRPr="001A653C">
        <w:rPr>
          <w:rFonts w:asciiTheme="minorHAnsi" w:hAnsiTheme="minorHAnsi" w:cstheme="minorHAnsi"/>
          <w:bCs/>
        </w:rPr>
        <w:t>) pozīcijā Nr.13 (</w:t>
      </w:r>
      <w:r w:rsidRPr="00F069EC">
        <w:rPr>
          <w:rFonts w:asciiTheme="minorHAnsi" w:hAnsiTheme="minorHAnsi" w:cstheme="minorHAnsi"/>
          <w:bCs/>
        </w:rPr>
        <w:t xml:space="preserve">Nesaistītu </w:t>
      </w:r>
      <w:proofErr w:type="spellStart"/>
      <w:r w:rsidRPr="00F069EC">
        <w:rPr>
          <w:rFonts w:asciiTheme="minorHAnsi" w:hAnsiTheme="minorHAnsi" w:cstheme="minorHAnsi"/>
          <w:bCs/>
        </w:rPr>
        <w:t>minerālmateriālu</w:t>
      </w:r>
      <w:proofErr w:type="spellEnd"/>
      <w:r w:rsidRPr="00F069EC">
        <w:rPr>
          <w:rFonts w:asciiTheme="minorHAnsi" w:hAnsiTheme="minorHAnsi" w:cstheme="minorHAnsi"/>
          <w:bCs/>
        </w:rPr>
        <w:t xml:space="preserve"> 2/45 segas pamata kārtas būvniecība h=15 cm biezumā</w:t>
      </w:r>
      <w:r w:rsidRPr="001A653C">
        <w:rPr>
          <w:rFonts w:asciiTheme="minorHAnsi" w:hAnsiTheme="minorHAnsi" w:cstheme="minorHAnsi"/>
          <w:bCs/>
        </w:rPr>
        <w:t>) būvniecībā paredzēt</w:t>
      </w:r>
      <w:r>
        <w:rPr>
          <w:rFonts w:asciiTheme="minorHAnsi" w:hAnsiTheme="minorHAnsi" w:cstheme="minorHAnsi"/>
          <w:bCs/>
        </w:rPr>
        <w:t>a</w:t>
      </w:r>
      <w:r w:rsidRPr="001A653C">
        <w:rPr>
          <w:rFonts w:asciiTheme="minorHAnsi" w:hAnsiTheme="minorHAnsi" w:cstheme="minorHAnsi"/>
          <w:bCs/>
        </w:rPr>
        <w:t xml:space="preserve"> ieklāt </w:t>
      </w:r>
      <w:proofErr w:type="spellStart"/>
      <w:r w:rsidRPr="001A653C">
        <w:rPr>
          <w:rFonts w:asciiTheme="minorHAnsi" w:hAnsiTheme="minorHAnsi" w:cstheme="minorHAnsi"/>
          <w:bCs/>
        </w:rPr>
        <w:t>nesasitītu</w:t>
      </w:r>
      <w:proofErr w:type="spellEnd"/>
      <w:r w:rsidRPr="001A653C">
        <w:rPr>
          <w:rFonts w:asciiTheme="minorHAnsi" w:hAnsiTheme="minorHAnsi" w:cstheme="minorHAnsi"/>
          <w:bCs/>
        </w:rPr>
        <w:t xml:space="preserve"> </w:t>
      </w:r>
      <w:proofErr w:type="spellStart"/>
      <w:r w:rsidRPr="001A653C">
        <w:rPr>
          <w:rFonts w:asciiTheme="minorHAnsi" w:hAnsiTheme="minorHAnsi" w:cstheme="minorHAnsi"/>
          <w:bCs/>
        </w:rPr>
        <w:t>minerālmateriālu</w:t>
      </w:r>
      <w:proofErr w:type="spellEnd"/>
      <w:r w:rsidRPr="001A653C">
        <w:rPr>
          <w:rFonts w:asciiTheme="minorHAnsi" w:hAnsiTheme="minorHAnsi" w:cstheme="minorHAnsi"/>
          <w:bCs/>
        </w:rPr>
        <w:t xml:space="preserve"> frakcij</w:t>
      </w:r>
      <w:r>
        <w:rPr>
          <w:rFonts w:asciiTheme="minorHAnsi" w:hAnsiTheme="minorHAnsi" w:cstheme="minorHAnsi"/>
          <w:bCs/>
        </w:rPr>
        <w:t>a</w:t>
      </w:r>
      <w:r w:rsidRPr="001A653C">
        <w:rPr>
          <w:rFonts w:asciiTheme="minorHAnsi" w:hAnsiTheme="minorHAnsi" w:cstheme="minorHAnsi"/>
          <w:bCs/>
        </w:rPr>
        <w:t xml:space="preserve">  2/45 (kā uzrādīts lokālajā tāmē Nr.1 (CD </w:t>
      </w:r>
      <w:proofErr w:type="spellStart"/>
      <w:r w:rsidRPr="001A653C">
        <w:rPr>
          <w:rFonts w:asciiTheme="minorHAnsi" w:hAnsiTheme="minorHAnsi" w:cstheme="minorHAnsi"/>
          <w:bCs/>
        </w:rPr>
        <w:t>I.kārta</w:t>
      </w:r>
      <w:proofErr w:type="spellEnd"/>
      <w:r w:rsidRPr="001A653C">
        <w:rPr>
          <w:rFonts w:asciiTheme="minorHAnsi" w:hAnsiTheme="minorHAnsi" w:cstheme="minorHAnsi"/>
          <w:bCs/>
        </w:rPr>
        <w:t>)).</w:t>
      </w:r>
    </w:p>
    <w:p w:rsidR="006146AF" w:rsidRDefault="006146AF">
      <w:bookmarkStart w:id="0" w:name="_GoBack"/>
      <w:bookmarkEnd w:id="0"/>
    </w:p>
    <w:sectPr w:rsidR="006146AF" w:rsidSect="00561757">
      <w:pgSz w:w="11906" w:h="16838"/>
      <w:pgMar w:top="36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A57BE"/>
    <w:multiLevelType w:val="hybridMultilevel"/>
    <w:tmpl w:val="CED6A2A6"/>
    <w:lvl w:ilvl="0" w:tplc="54BAB940">
      <w:start w:val="1"/>
      <w:numFmt w:val="decimal"/>
      <w:lvlText w:val="%1."/>
      <w:lvlJc w:val="left"/>
      <w:pPr>
        <w:ind w:left="1353" w:hanging="360"/>
      </w:pPr>
      <w:rPr>
        <w:rFonts w:hint="default"/>
        <w:b/>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83"/>
    <w:rsid w:val="006146AF"/>
    <w:rsid w:val="00AF76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F7683"/>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Rakstz. Rakstz.,Char,Rakstz.2,Rakstz. Char Char,Rakstz. Char,Char2"/>
    <w:basedOn w:val="Parasts"/>
    <w:link w:val="GalveneRakstz"/>
    <w:rsid w:val="00AF7683"/>
    <w:pPr>
      <w:tabs>
        <w:tab w:val="center" w:pos="4153"/>
        <w:tab w:val="right" w:pos="8306"/>
      </w:tabs>
    </w:pPr>
  </w:style>
  <w:style w:type="character" w:customStyle="1" w:styleId="GalveneRakstz">
    <w:name w:val="Galvene Rakstz."/>
    <w:aliases w:val="Rakstz. Rakstz. Rakstz.,Char Rakstz.,Rakstz.2 Rakstz.,Rakstz. Char Char Rakstz.,Rakstz. Char Rakstz.,Char2 Rakstz."/>
    <w:basedOn w:val="Noklusjumarindkopasfonts"/>
    <w:link w:val="Galvene"/>
    <w:rsid w:val="00AF7683"/>
    <w:rPr>
      <w:rFonts w:ascii="Times New Roman" w:eastAsia="Calibri" w:hAnsi="Times New Roman" w:cs="Times New Roman"/>
      <w:sz w:val="24"/>
      <w:szCs w:val="24"/>
      <w:lang w:eastAsia="lv-LV"/>
    </w:rPr>
  </w:style>
  <w:style w:type="paragraph" w:styleId="Sarakstarindkopa">
    <w:name w:val="List Paragraph"/>
    <w:aliases w:val="Strip,Normal bullet 2,Bullet list,Saistīto dokumentu saraksts,Syle 1,Virsraksti,H&amp;P List Paragraph,2,Colorful List - Accent 12,Numurets,PPS_Bullet,Numbered Para 1,Dot pt,Indicator Text,Bullet Points,MAIN CONTENT"/>
    <w:basedOn w:val="Parasts"/>
    <w:link w:val="SarakstarindkopaRakstz"/>
    <w:uiPriority w:val="34"/>
    <w:qFormat/>
    <w:rsid w:val="00AF7683"/>
    <w:pPr>
      <w:ind w:left="720"/>
      <w:contextualSpacing/>
    </w:pPr>
  </w:style>
  <w:style w:type="character" w:customStyle="1" w:styleId="SarakstarindkopaRakstz">
    <w:name w:val="Saraksta rindkopa Rakstz."/>
    <w:aliases w:val="Strip Rakstz.,Normal bullet 2 Rakstz.,Bullet list Rakstz.,Saistīto dokumentu saraksts Rakstz.,Syle 1 Rakstz.,Virsraksti Rakstz.,H&amp;P List Paragraph Rakstz.,2 Rakstz.,Colorful List - Accent 12 Rakstz.,Numurets Rakstz."/>
    <w:link w:val="Sarakstarindkopa"/>
    <w:uiPriority w:val="34"/>
    <w:qFormat/>
    <w:locked/>
    <w:rsid w:val="00AF7683"/>
    <w:rPr>
      <w:rFonts w:ascii="Times New Roman" w:eastAsia="Calibri" w:hAnsi="Times New Roman" w:cs="Times New Roman"/>
      <w:sz w:val="24"/>
      <w:szCs w:val="24"/>
      <w:lang w:eastAsia="lv-LV"/>
    </w:rPr>
  </w:style>
  <w:style w:type="paragraph" w:styleId="Balonteksts">
    <w:name w:val="Balloon Text"/>
    <w:basedOn w:val="Parasts"/>
    <w:link w:val="BalontekstsRakstz"/>
    <w:uiPriority w:val="99"/>
    <w:semiHidden/>
    <w:unhideWhenUsed/>
    <w:rsid w:val="00AF76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7683"/>
    <w:rPr>
      <w:rFonts w:ascii="Tahoma" w:eastAsia="Calibri" w:hAnsi="Tahoma" w:cs="Tahoma"/>
      <w:sz w:val="16"/>
      <w:szCs w:val="16"/>
      <w:lang w:eastAsia="lv-LV"/>
    </w:rPr>
  </w:style>
  <w:style w:type="character" w:styleId="Hipersaite">
    <w:name w:val="Hyperlink"/>
    <w:basedOn w:val="Noklusjumarindkopasfonts"/>
    <w:uiPriority w:val="99"/>
    <w:unhideWhenUsed/>
    <w:rsid w:val="00AF7683"/>
    <w:rPr>
      <w:color w:val="0000FF" w:themeColor="hyperlink"/>
      <w:u w:val="single"/>
    </w:rPr>
  </w:style>
  <w:style w:type="paragraph" w:styleId="Paraststmeklis">
    <w:name w:val="Normal (Web)"/>
    <w:basedOn w:val="Parasts"/>
    <w:uiPriority w:val="99"/>
    <w:unhideWhenUsed/>
    <w:rsid w:val="00AF7683"/>
    <w:pPr>
      <w:spacing w:before="100" w:beforeAutospacing="1" w:after="100" w:afterAutospacing="1"/>
    </w:pPr>
    <w:rPr>
      <w:rFonts w:eastAsia="Times New Roman"/>
    </w:rPr>
  </w:style>
  <w:style w:type="paragraph" w:styleId="Bezatstarpm">
    <w:name w:val="No Spacing"/>
    <w:basedOn w:val="Parasts"/>
    <w:uiPriority w:val="1"/>
    <w:qFormat/>
    <w:rsid w:val="00AF7683"/>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F7683"/>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Rakstz. Rakstz.,Char,Rakstz.2,Rakstz. Char Char,Rakstz. Char,Char2"/>
    <w:basedOn w:val="Parasts"/>
    <w:link w:val="GalveneRakstz"/>
    <w:rsid w:val="00AF7683"/>
    <w:pPr>
      <w:tabs>
        <w:tab w:val="center" w:pos="4153"/>
        <w:tab w:val="right" w:pos="8306"/>
      </w:tabs>
    </w:pPr>
  </w:style>
  <w:style w:type="character" w:customStyle="1" w:styleId="GalveneRakstz">
    <w:name w:val="Galvene Rakstz."/>
    <w:aliases w:val="Rakstz. Rakstz. Rakstz.,Char Rakstz.,Rakstz.2 Rakstz.,Rakstz. Char Char Rakstz.,Rakstz. Char Rakstz.,Char2 Rakstz."/>
    <w:basedOn w:val="Noklusjumarindkopasfonts"/>
    <w:link w:val="Galvene"/>
    <w:rsid w:val="00AF7683"/>
    <w:rPr>
      <w:rFonts w:ascii="Times New Roman" w:eastAsia="Calibri" w:hAnsi="Times New Roman" w:cs="Times New Roman"/>
      <w:sz w:val="24"/>
      <w:szCs w:val="24"/>
      <w:lang w:eastAsia="lv-LV"/>
    </w:rPr>
  </w:style>
  <w:style w:type="paragraph" w:styleId="Sarakstarindkopa">
    <w:name w:val="List Paragraph"/>
    <w:aliases w:val="Strip,Normal bullet 2,Bullet list,Saistīto dokumentu saraksts,Syle 1,Virsraksti,H&amp;P List Paragraph,2,Colorful List - Accent 12,Numurets,PPS_Bullet,Numbered Para 1,Dot pt,Indicator Text,Bullet Points,MAIN CONTENT"/>
    <w:basedOn w:val="Parasts"/>
    <w:link w:val="SarakstarindkopaRakstz"/>
    <w:uiPriority w:val="34"/>
    <w:qFormat/>
    <w:rsid w:val="00AF7683"/>
    <w:pPr>
      <w:ind w:left="720"/>
      <w:contextualSpacing/>
    </w:pPr>
  </w:style>
  <w:style w:type="character" w:customStyle="1" w:styleId="SarakstarindkopaRakstz">
    <w:name w:val="Saraksta rindkopa Rakstz."/>
    <w:aliases w:val="Strip Rakstz.,Normal bullet 2 Rakstz.,Bullet list Rakstz.,Saistīto dokumentu saraksts Rakstz.,Syle 1 Rakstz.,Virsraksti Rakstz.,H&amp;P List Paragraph Rakstz.,2 Rakstz.,Colorful List - Accent 12 Rakstz.,Numurets Rakstz."/>
    <w:link w:val="Sarakstarindkopa"/>
    <w:uiPriority w:val="34"/>
    <w:qFormat/>
    <w:locked/>
    <w:rsid w:val="00AF7683"/>
    <w:rPr>
      <w:rFonts w:ascii="Times New Roman" w:eastAsia="Calibri" w:hAnsi="Times New Roman" w:cs="Times New Roman"/>
      <w:sz w:val="24"/>
      <w:szCs w:val="24"/>
      <w:lang w:eastAsia="lv-LV"/>
    </w:rPr>
  </w:style>
  <w:style w:type="paragraph" w:styleId="Balonteksts">
    <w:name w:val="Balloon Text"/>
    <w:basedOn w:val="Parasts"/>
    <w:link w:val="BalontekstsRakstz"/>
    <w:uiPriority w:val="99"/>
    <w:semiHidden/>
    <w:unhideWhenUsed/>
    <w:rsid w:val="00AF76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7683"/>
    <w:rPr>
      <w:rFonts w:ascii="Tahoma" w:eastAsia="Calibri" w:hAnsi="Tahoma" w:cs="Tahoma"/>
      <w:sz w:val="16"/>
      <w:szCs w:val="16"/>
      <w:lang w:eastAsia="lv-LV"/>
    </w:rPr>
  </w:style>
  <w:style w:type="character" w:styleId="Hipersaite">
    <w:name w:val="Hyperlink"/>
    <w:basedOn w:val="Noklusjumarindkopasfonts"/>
    <w:uiPriority w:val="99"/>
    <w:unhideWhenUsed/>
    <w:rsid w:val="00AF7683"/>
    <w:rPr>
      <w:color w:val="0000FF" w:themeColor="hyperlink"/>
      <w:u w:val="single"/>
    </w:rPr>
  </w:style>
  <w:style w:type="paragraph" w:styleId="Paraststmeklis">
    <w:name w:val="Normal (Web)"/>
    <w:basedOn w:val="Parasts"/>
    <w:uiPriority w:val="99"/>
    <w:unhideWhenUsed/>
    <w:rsid w:val="00AF7683"/>
    <w:pPr>
      <w:spacing w:before="100" w:beforeAutospacing="1" w:after="100" w:afterAutospacing="1"/>
    </w:pPr>
    <w:rPr>
      <w:rFonts w:eastAsia="Times New Roman"/>
    </w:rPr>
  </w:style>
  <w:style w:type="paragraph" w:styleId="Bezatstarpm">
    <w:name w:val="No Spacing"/>
    <w:basedOn w:val="Parasts"/>
    <w:uiPriority w:val="1"/>
    <w:qFormat/>
    <w:rsid w:val="00AF768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8177-buvspecialistu-kompetences-novertesanas-un-patstavigas-prakses-uzraudzibas-noteikumi" TargetMode="External"/><Relationship Id="rId3" Type="http://schemas.microsoft.com/office/2007/relationships/stylesWithEffects" Target="stylesWithEffects.xml"/><Relationship Id="rId7" Type="http://schemas.openxmlformats.org/officeDocument/2006/relationships/hyperlink" Target="https://likumi.lv/ta/id/298177-buvspecialistu-kompetences-novertesanas-un-patstavigas-prakses-uzraudzibas-noteik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3353</Words>
  <Characters>1912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cp:revision>
  <dcterms:created xsi:type="dcterms:W3CDTF">2021-06-01T14:03:00Z</dcterms:created>
  <dcterms:modified xsi:type="dcterms:W3CDTF">2021-06-01T14:04:00Z</dcterms:modified>
</cp:coreProperties>
</file>